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9" w:beforeLines="80" w:after="156" w:afterLines="50" w:line="560" w:lineRule="exact"/>
        <w:jc w:val="center"/>
        <w:rPr>
          <w:rFonts w:hint="eastAsia" w:ascii="华文中宋" w:hAnsi="华文中宋" w:eastAsia="华文中宋"/>
          <w:b/>
          <w:bCs/>
          <w:color w:val="FF0000"/>
          <w:spacing w:val="40"/>
          <w:sz w:val="72"/>
          <w:szCs w:val="72"/>
        </w:rPr>
      </w:pPr>
    </w:p>
    <w:p>
      <w:pPr>
        <w:spacing w:before="249" w:beforeLines="80" w:after="156" w:afterLines="50" w:line="560" w:lineRule="exact"/>
        <w:jc w:val="center"/>
        <w:rPr>
          <w:rFonts w:ascii="华文中宋" w:hAnsi="华文中宋" w:eastAsia="华文中宋"/>
          <w:b/>
          <w:bCs/>
          <w:color w:val="FF0000"/>
          <w:spacing w:val="40"/>
          <w:sz w:val="72"/>
          <w:szCs w:val="72"/>
        </w:rPr>
      </w:pPr>
    </w:p>
    <w:p>
      <w:pPr>
        <w:spacing w:before="249" w:beforeLines="80" w:after="156" w:afterLines="50" w:line="560" w:lineRule="exact"/>
        <w:jc w:val="center"/>
        <w:rPr>
          <w:rFonts w:ascii="华文中宋" w:hAnsi="华文中宋" w:eastAsia="华文中宋"/>
          <w:b/>
          <w:bCs/>
          <w:color w:val="FF0000"/>
          <w:spacing w:val="40"/>
          <w:sz w:val="72"/>
          <w:szCs w:val="72"/>
        </w:rPr>
      </w:pPr>
    </w:p>
    <w:p>
      <w:pPr>
        <w:spacing w:before="249" w:beforeLines="80" w:after="156" w:afterLines="50" w:line="560" w:lineRule="exact"/>
        <w:jc w:val="center"/>
        <w:rPr>
          <w:rFonts w:ascii="华文中宋" w:hAnsi="华文中宋" w:eastAsia="华文中宋"/>
          <w:b/>
          <w:bCs/>
          <w:color w:val="FF0000"/>
          <w:spacing w:val="40"/>
          <w:sz w:val="72"/>
          <w:szCs w:val="72"/>
        </w:rPr>
      </w:pPr>
    </w:p>
    <w:p>
      <w:pPr>
        <w:spacing w:before="249" w:beforeLines="80" w:after="156" w:afterLines="50" w:line="560" w:lineRule="exact"/>
        <w:jc w:val="center"/>
        <w:rPr>
          <w:rFonts w:ascii="华文中宋" w:hAnsi="华文中宋" w:eastAsia="华文中宋"/>
          <w:b/>
          <w:bCs/>
          <w:color w:val="FF0000"/>
          <w:spacing w:val="40"/>
          <w:sz w:val="72"/>
          <w:szCs w:val="72"/>
        </w:rPr>
      </w:pPr>
      <w:r>
        <w:pict>
          <v:shape id="_x0000_s1026" o:spid="_x0000_s1026" o:spt="175" type="#_x0000_t175" style="position:absolute;left:0pt;margin-top:3.35pt;height:62.35pt;width:405.35pt;mso-position-horizontal:center;z-index:251658240;mso-width-relative:page;mso-height-relative:page;" fillcolor="#FF0000" filled="t" stroked="f" coordsize="21600,21600" adj="194">
            <v:path/>
            <v:fill on="t" focussize="0,0"/>
            <v:stroke on="f"/>
            <v:imagedata o:title=""/>
            <o:lock v:ext="edit" text="f"/>
            <v:textpath on="t" fitshape="t" fitpath="t" trim="t" xscale="f" string="海南股权交易中心有限责任公司文件" style="font-family:方正小标宋简体;font-size:36pt;font-weight:bold;v-text-align:center;"/>
          </v:shape>
        </w:pict>
      </w:r>
    </w:p>
    <w:p>
      <w:pPr>
        <w:spacing w:before="249" w:beforeLines="80" w:after="156" w:afterLines="50" w:line="560" w:lineRule="exact"/>
        <w:jc w:val="center"/>
        <w:rPr>
          <w:rFonts w:ascii="华文中宋" w:hAnsi="华文中宋" w:eastAsia="华文中宋"/>
          <w:b/>
          <w:bCs/>
          <w:color w:val="FF0000"/>
          <w:spacing w:val="40"/>
          <w:sz w:val="72"/>
          <w:szCs w:val="72"/>
        </w:rPr>
      </w:pPr>
    </w:p>
    <w:p>
      <w:pPr>
        <w:spacing w:line="240" w:lineRule="atLeast"/>
        <w:jc w:val="center"/>
        <w:rPr>
          <w:rFonts w:ascii="仿宋_GB2312" w:hAnsi="华文中宋" w:eastAsia="仿宋_GB2312"/>
          <w:bCs/>
          <w:color w:val="000000"/>
          <w:sz w:val="30"/>
          <w:szCs w:val="30"/>
        </w:rPr>
      </w:pPr>
    </w:p>
    <w:p>
      <w:pPr>
        <w:jc w:val="center"/>
        <w:rPr>
          <w:rFonts w:ascii="楷体_GB2312" w:hAnsi="楷体" w:eastAsia="楷体_GB2312"/>
          <w:bCs/>
          <w:color w:val="000000"/>
          <w:sz w:val="30"/>
          <w:szCs w:val="30"/>
        </w:rPr>
      </w:pPr>
      <w:r>
        <w:rPr>
          <w:rFonts w:hint="eastAsia" w:ascii="仿宋_GB2312" w:hAnsi="华文中宋" w:eastAsia="仿宋_GB2312"/>
          <w:bCs/>
          <w:color w:val="000000"/>
          <w:sz w:val="30"/>
          <w:szCs w:val="30"/>
        </w:rPr>
        <w:t>海交〔</w:t>
      </w:r>
      <w:r>
        <w:rPr>
          <w:rFonts w:ascii="仿宋_GB2312" w:hAnsi="华文中宋" w:eastAsia="仿宋_GB2312"/>
          <w:bCs/>
          <w:color w:val="000000"/>
          <w:sz w:val="30"/>
          <w:szCs w:val="30"/>
        </w:rPr>
        <w:t>201</w:t>
      </w:r>
      <w:r>
        <w:rPr>
          <w:rFonts w:hint="eastAsia" w:ascii="仿宋_GB2312" w:hAnsi="华文中宋" w:eastAsia="仿宋_GB2312"/>
          <w:bCs/>
          <w:color w:val="000000"/>
          <w:sz w:val="30"/>
          <w:szCs w:val="30"/>
        </w:rPr>
        <w:t>8〕</w:t>
      </w:r>
      <w:r>
        <w:rPr>
          <w:rFonts w:hint="eastAsia" w:ascii="仿宋_GB2312" w:hAnsi="华文中宋" w:eastAsia="仿宋_GB2312"/>
          <w:bCs/>
          <w:color w:val="000000"/>
          <w:sz w:val="30"/>
          <w:szCs w:val="30"/>
          <w:lang w:val="en-US" w:eastAsia="zh-CN"/>
        </w:rPr>
        <w:t>64</w:t>
      </w:r>
      <w:r>
        <w:rPr>
          <w:rFonts w:hint="eastAsia" w:ascii="仿宋_GB2312" w:hAnsi="华文中宋" w:eastAsia="仿宋_GB2312"/>
          <w:bCs/>
          <w:color w:val="000000"/>
          <w:sz w:val="30"/>
          <w:szCs w:val="30"/>
        </w:rPr>
        <w:t>号</w:t>
      </w:r>
    </w:p>
    <w:p>
      <w:pPr>
        <w:spacing w:line="240" w:lineRule="atLeast"/>
        <w:jc w:val="distribute"/>
        <w:rPr>
          <w:rFonts w:hint="eastAsia" w:ascii="华文宋体" w:hAnsi="华文宋体" w:eastAsia="华文宋体"/>
          <w:b/>
          <w:bCs/>
          <w:color w:val="FF0000"/>
          <w:spacing w:val="-10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5763895" cy="190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3895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1.5pt;height:0.15pt;width:453.85pt;mso-position-horizontal:center;z-index:251659264;mso-width-relative:page;mso-height-relative:page;" coordsize="21600,21600" o:gfxdata="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THYcvUAAAABAEAAA8A&#10;AAAAAAAAAQAgAAAAIgAAAGRycy9kb3ducmV2LnhtbFBLAQIUABQAAAAIAIdO4kBywSkq4gEAAKQD&#10;AAAOAAAAAAAAAAEAIAAAACMBAABkcnMvZTJvRG9jLnhtbFBLBQYAAAAABgAGAFkBAAB3BQAAAAA=&#10;">
                <v:path arrowok="t"/>
                <v:fill focussize="0,0"/>
                <v:stroke weight="1.5pt" color="#FF0000"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海南股权交易中心有限责任公司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关于对海南迅达智能科技股份有限公司</w:t>
      </w:r>
    </w:p>
    <w:p>
      <w:pPr>
        <w:jc w:val="center"/>
        <w:rPr>
          <w:rFonts w:ascii="仿宋_GB2312" w:hAnsi="黑体" w:eastAsia="仿宋_GB2312"/>
          <w:sz w:val="30"/>
          <w:szCs w:val="30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实施强制摘牌</w:t>
      </w:r>
      <w:r>
        <w:rPr>
          <w:rFonts w:hint="eastAsia" w:ascii="方正小标宋简体" w:hAnsi="黑体" w:eastAsia="方正小标宋简体"/>
          <w:sz w:val="36"/>
          <w:szCs w:val="36"/>
        </w:rPr>
        <w:t>的公告</w:t>
      </w: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海南股权交易中心（以下简称“本中心”）根据《海南股权交易中心信息披露规则》的有关规定,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对于</w:t>
      </w:r>
      <w:r>
        <w:rPr>
          <w:rFonts w:hint="eastAsia" w:ascii="仿宋_GB2312" w:hAnsi="黑体" w:eastAsia="仿宋_GB2312"/>
          <w:sz w:val="30"/>
          <w:szCs w:val="30"/>
        </w:rPr>
        <w:t>海南迅达智能科技股份有限公司（以下简称“迅达智能”）拒不履行信息披露义务、无故缺席本中心约谈提醒等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违规行为</w:t>
      </w:r>
      <w:r>
        <w:rPr>
          <w:rFonts w:hint="eastAsia" w:ascii="仿宋_GB2312" w:hAnsi="黑体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采取强制摘牌的自律管理措施</w:t>
      </w:r>
      <w:r>
        <w:rPr>
          <w:rFonts w:hint="eastAsia" w:ascii="仿宋_GB2312" w:hAnsi="黑体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迅达智能于2015年1月26日正式在本中心交易板挂牌。根据相关监管规定以及本中心信息披露制度，挂牌公司须</w:t>
      </w:r>
      <w:r>
        <w:rPr>
          <w:rFonts w:ascii="仿宋_GB2312" w:hAnsi="黑体" w:eastAsia="仿宋_GB2312"/>
          <w:sz w:val="30"/>
          <w:szCs w:val="30"/>
        </w:rPr>
        <w:t>在每个会计年度结束之日起四个月内编制并披露年度报告</w:t>
      </w:r>
      <w:r>
        <w:rPr>
          <w:rFonts w:hint="eastAsia" w:ascii="仿宋_GB2312" w:hAnsi="黑体" w:eastAsia="仿宋_GB2312"/>
          <w:sz w:val="30"/>
          <w:szCs w:val="30"/>
        </w:rPr>
        <w:t>。</w:t>
      </w:r>
      <w:r>
        <w:rPr>
          <w:rFonts w:hint="eastAsia" w:ascii="仿宋_GB2312" w:hAnsi="仿宋" w:eastAsia="仿宋_GB2312"/>
          <w:sz w:val="30"/>
        </w:rPr>
        <w:t>本中心自3 月 1 日起先后多次通知、提醒迅达智能在4月底前提交2017年度报告，迅达智能</w:t>
      </w:r>
      <w:r>
        <w:rPr>
          <w:rFonts w:hint="eastAsia" w:ascii="仿宋_GB2312" w:hAnsi="仿宋" w:eastAsia="仿宋_GB2312"/>
          <w:sz w:val="30"/>
          <w:lang w:val="en-US" w:eastAsia="zh-CN"/>
        </w:rPr>
        <w:t>仍</w:t>
      </w:r>
      <w:r>
        <w:rPr>
          <w:rFonts w:hint="eastAsia" w:ascii="仿宋_GB2312" w:hAnsi="仿宋" w:eastAsia="仿宋_GB2312"/>
          <w:sz w:val="30"/>
        </w:rPr>
        <w:t>未按时提交。</w:t>
      </w:r>
      <w:r>
        <w:rPr>
          <w:rFonts w:hint="eastAsia" w:ascii="仿宋_GB2312" w:hAnsi="黑体" w:eastAsia="仿宋_GB2312"/>
          <w:sz w:val="30"/>
          <w:szCs w:val="30"/>
        </w:rPr>
        <w:t>5月2日本中心向</w:t>
      </w:r>
      <w:r>
        <w:rPr>
          <w:rFonts w:hint="eastAsia" w:ascii="仿宋_GB2312" w:hAnsi="仿宋" w:eastAsia="仿宋_GB2312"/>
          <w:sz w:val="30"/>
        </w:rPr>
        <w:t>迅达智能</w:t>
      </w:r>
      <w:r>
        <w:rPr>
          <w:rFonts w:hint="eastAsia" w:ascii="仿宋_GB2312" w:hAnsi="黑体" w:eastAsia="仿宋_GB2312"/>
          <w:sz w:val="30"/>
          <w:szCs w:val="30"/>
        </w:rPr>
        <w:t>发出约谈函，5月7日发出警告函，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6月4日进行通报批评，</w:t>
      </w:r>
      <w:r>
        <w:rPr>
          <w:rFonts w:hint="eastAsia" w:ascii="仿宋_GB2312" w:hAnsi="黑体" w:eastAsia="仿宋_GB2312"/>
          <w:sz w:val="30"/>
          <w:szCs w:val="30"/>
        </w:rPr>
        <w:t>均未得到回应。截止本公告出具之日</w:t>
      </w:r>
      <w:r>
        <w:rPr>
          <w:rFonts w:hint="eastAsia" w:ascii="仿宋_GB2312" w:hAnsi="仿宋" w:eastAsia="仿宋_GB2312"/>
          <w:sz w:val="30"/>
        </w:rPr>
        <w:t>迅达智能</w:t>
      </w:r>
      <w:r>
        <w:rPr>
          <w:rFonts w:hint="eastAsia" w:ascii="仿宋_GB2312" w:hAnsi="黑体" w:eastAsia="仿宋_GB2312"/>
          <w:sz w:val="30"/>
          <w:szCs w:val="30"/>
        </w:rPr>
        <w:t>仍未履行年报披露义务。鉴于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该</w:t>
      </w:r>
      <w:r>
        <w:rPr>
          <w:rFonts w:hint="eastAsia" w:ascii="仿宋_GB2312" w:hAnsi="黑体" w:eastAsia="仿宋_GB2312"/>
          <w:sz w:val="30"/>
          <w:szCs w:val="30"/>
        </w:rPr>
        <w:t>公司不配合履行挂牌公司义务的行为已违反本中心相关制度，本中心做出以下决定：</w:t>
      </w: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对海南迅达智能科技股份有限公司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实施强制摘牌</w:t>
      </w:r>
      <w:r>
        <w:rPr>
          <w:rFonts w:hint="eastAsia" w:ascii="仿宋_GB2312" w:hAnsi="黑体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请投资者谨慎投资，注意投资风险。</w:t>
      </w: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特此公告。</w:t>
      </w: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</w:p>
    <w:p>
      <w:pPr>
        <w:jc w:val="right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海南股权交易中心有限责任公司</w:t>
      </w:r>
    </w:p>
    <w:p>
      <w:pPr>
        <w:wordWrap w:val="0"/>
        <w:jc w:val="right"/>
        <w:rPr>
          <w:rFonts w:hint="eastAsia" w:ascii="仿宋_GB2312" w:hAnsi="黑体" w:eastAsia="仿宋_GB2312"/>
          <w:sz w:val="30"/>
          <w:szCs w:val="30"/>
          <w:lang w:val="en-US" w:eastAsia="zh-CN"/>
        </w:rPr>
      </w:pPr>
      <w:r>
        <w:rPr>
          <w:rFonts w:ascii="仿宋_GB2312" w:hAnsi="黑体" w:eastAsia="仿宋_GB2312"/>
          <w:sz w:val="30"/>
          <w:szCs w:val="30"/>
        </w:rPr>
        <w:t>201</w:t>
      </w:r>
      <w:r>
        <w:rPr>
          <w:rFonts w:hint="eastAsia" w:ascii="仿宋_GB2312" w:hAnsi="黑体" w:eastAsia="仿宋_GB2312"/>
          <w:sz w:val="30"/>
          <w:szCs w:val="30"/>
        </w:rPr>
        <w:t>8</w:t>
      </w:r>
      <w:r>
        <w:rPr>
          <w:rFonts w:ascii="仿宋_GB2312" w:hAnsi="黑体" w:eastAsia="仿宋_GB2312"/>
          <w:sz w:val="30"/>
          <w:szCs w:val="30"/>
        </w:rPr>
        <w:t>年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7</w:t>
      </w:r>
      <w:r>
        <w:rPr>
          <w:rFonts w:ascii="仿宋_GB2312" w:hAnsi="黑体" w:eastAsia="仿宋_GB2312"/>
          <w:sz w:val="30"/>
          <w:szCs w:val="30"/>
        </w:rPr>
        <w:t>月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23</w:t>
      </w:r>
      <w:r>
        <w:rPr>
          <w:rFonts w:ascii="仿宋_GB2312" w:hAnsi="黑体" w:eastAsia="仿宋_GB2312"/>
          <w:sz w:val="30"/>
          <w:szCs w:val="30"/>
        </w:rPr>
        <w:t>日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 xml:space="preserve">    </w:t>
      </w:r>
      <w:bookmarkStart w:id="0" w:name="_GoBack"/>
      <w:bookmarkEnd w:id="0"/>
    </w:p>
    <w:p>
      <w:pPr>
        <w:wordWrap/>
        <w:jc w:val="left"/>
        <w:rPr>
          <w:rFonts w:hint="eastAsia" w:ascii="仿宋_GB2312" w:hAnsi="黑体" w:eastAsia="仿宋_GB2312"/>
          <w:sz w:val="30"/>
          <w:szCs w:val="30"/>
          <w:lang w:val="en-US" w:eastAsia="zh-CN"/>
        </w:rPr>
      </w:pPr>
    </w:p>
    <w:p>
      <w:pPr>
        <w:wordWrap/>
        <w:jc w:val="left"/>
        <w:rPr>
          <w:rFonts w:hint="eastAsia" w:ascii="仿宋_GB2312" w:hAnsi="黑体" w:eastAsia="仿宋_GB2312"/>
          <w:sz w:val="30"/>
          <w:szCs w:val="30"/>
          <w:lang w:val="en-US" w:eastAsia="zh-CN"/>
        </w:rPr>
      </w:pPr>
    </w:p>
    <w:p>
      <w:pPr>
        <w:wordWrap/>
        <w:jc w:val="left"/>
        <w:rPr>
          <w:rFonts w:hint="eastAsia" w:ascii="仿宋_GB2312" w:hAnsi="黑体" w:eastAsia="仿宋_GB2312"/>
          <w:sz w:val="30"/>
          <w:szCs w:val="30"/>
          <w:lang w:val="en-US" w:eastAsia="zh-CN"/>
        </w:rPr>
      </w:pPr>
    </w:p>
    <w:p>
      <w:pPr>
        <w:wordWrap/>
        <w:jc w:val="left"/>
        <w:rPr>
          <w:rFonts w:hint="eastAsia" w:ascii="仿宋_GB2312" w:hAnsi="黑体" w:eastAsia="仿宋_GB2312"/>
          <w:sz w:val="30"/>
          <w:szCs w:val="30"/>
          <w:lang w:val="en-US" w:eastAsia="zh-CN"/>
        </w:rPr>
      </w:pPr>
    </w:p>
    <w:p>
      <w:pPr>
        <w:wordWrap/>
        <w:jc w:val="left"/>
        <w:rPr>
          <w:rFonts w:hint="eastAsia" w:ascii="仿宋_GB2312" w:hAnsi="黑体" w:eastAsia="仿宋_GB2312"/>
          <w:sz w:val="30"/>
          <w:szCs w:val="30"/>
          <w:lang w:val="en-US" w:eastAsia="zh-CN"/>
        </w:rPr>
      </w:pPr>
    </w:p>
    <w:p>
      <w:pPr>
        <w:wordWrap/>
        <w:jc w:val="left"/>
        <w:rPr>
          <w:rFonts w:hint="eastAsia" w:ascii="仿宋_GB2312" w:hAnsi="黑体" w:eastAsia="仿宋_GB2312"/>
          <w:sz w:val="30"/>
          <w:szCs w:val="30"/>
          <w:lang w:val="en-US" w:eastAsia="zh-CN"/>
        </w:rPr>
      </w:pPr>
    </w:p>
    <w:p>
      <w:pPr>
        <w:ind w:firstLine="210" w:firstLineChars="1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5372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05pt;height:0pt;width:423pt;z-index:251663360;mso-width-relative:page;mso-height-relative:page;" filled="f" stroked="t" coordsize="21600,21600" o:gfxdata="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RlG6NUAAAAGAQAADwAAAAAA&#10;AAABACAAAAAiAAAAZHJzL2Rvd25yZXYueG1sUEsBAhQAFAAAAAgAh07iQJ09a1/dAQAApQMAAA4A&#10;AAAAAAAAAQAgAAAAJAEAAGRycy9lMm9Eb2MueG1sUEsFBgAAAAAGAAYAWQEAAHMFAAAAAA==&#10;">
                <v:path arrowok="t"/>
                <v:fill on="f" focussize="0,0"/>
                <v:stroke weight="1pt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372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pt;height:0pt;width:423pt;z-index:251662336;mso-width-relative:page;mso-height-relative:page;" filled="f" stroked="t" coordsize="21600,21600" o:gfxdata="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Edem/TAAAABAEAAA8AAAAAAAAA&#10;AQAgAAAAIgAAAGRycy9kb3ducmV2LnhtbFBLAQIUABQAAAAIAIdO4kBKSjaU3QEAAKUDAAAOAAAA&#10;AAAAAAEAIAAAACIBAABkcnMvZTJvRG9jLnhtbFBLBQYAAAAABgAGAFkBAABxBQAAAAA=&#10;">
                <v:path arrowok="t"/>
                <v:fill on="f" focussize="0,0"/>
                <v:stroke weight="1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海南股权交易中心有限责任公司           </w:t>
      </w:r>
      <w:r>
        <w:rPr>
          <w:rFonts w:hint="eastAsia" w:ascii="仿宋_GB2312" w:hAnsi="仿宋" w:eastAsia="仿宋_GB2312"/>
          <w:sz w:val="28"/>
          <w:szCs w:val="28"/>
        </w:rPr>
        <w:t>2018年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仿宋" w:eastAsia="仿宋_GB2312"/>
          <w:sz w:val="28"/>
          <w:szCs w:val="28"/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D420C"/>
    <w:rsid w:val="0BD4422D"/>
    <w:rsid w:val="0E062EBD"/>
    <w:rsid w:val="13A249CA"/>
    <w:rsid w:val="43ED420C"/>
    <w:rsid w:val="622A176B"/>
    <w:rsid w:val="6B5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用这个"/>
    <w:basedOn w:val="1"/>
    <w:next w:val="1"/>
    <w:qFormat/>
    <w:uiPriority w:val="99"/>
    <w:pPr>
      <w:autoSpaceDE w:val="0"/>
      <w:autoSpaceDN w:val="0"/>
      <w:adjustRightInd w:val="0"/>
      <w:spacing w:before="0" w:after="503"/>
      <w:ind w:left="0" w:firstLine="0" w:firstLineChars="0"/>
      <w:jc w:val="left"/>
    </w:pPr>
    <w:rPr>
      <w:rFonts w:ascii="黑体" w:hAnsi="黑体" w:eastAsia="华文中宋" w:cs="Times New Roman"/>
      <w:kern w:val="0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2018-05-18T02:43:00Z</dcterms:created>
  <dc:creator>龙佳欣</dc:creator>
  <cp:lastModifiedBy>卢诗婷</cp:lastModifiedBy>
  <dcterms:modified xsi:type="dcterms:W3CDTF">2018-07-26T01:14:05Z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